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76442B" w:rsidP="0076442B" w14:paraId="25A62DAC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5206E">
        <w:rPr>
          <w:b/>
        </w:rPr>
        <w:t>49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76442B" w:rsidP="0076442B" w14:paraId="7332DFC5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76442B" w14:paraId="17F8E270" w14:textId="01BF82EE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953BC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529E08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B953BC">
        <w:rPr>
          <w:sz w:val="24"/>
          <w:szCs w:val="24"/>
        </w:rPr>
        <w:t>№</w:t>
      </w:r>
      <w:r w:rsidR="0076442B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88B8701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76442B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953BC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B953BC">
        <w:rPr>
          <w:color w:val="auto"/>
          <w:sz w:val="24"/>
          <w:szCs w:val="24"/>
        </w:rPr>
        <w:t>и 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953BC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4BF1225C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B953BC" w:rsidR="00B953BC">
        <w:rPr>
          <w:bCs/>
          <w:color w:val="000000"/>
        </w:rPr>
        <w:t>0412365400765014142520152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BC6E54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06E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A63A2"/>
    <w:rsid w:val="002B107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6442B"/>
    <w:rsid w:val="007B692A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953BC"/>
    <w:rsid w:val="00BB39D5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970C0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06A0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